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64E7F91" w14:textId="0A7E4D9B" w:rsidR="005A4F9E" w:rsidRDefault="005A4F9E" w:rsidP="00B61B30">
      <w:pPr>
        <w:rPr>
          <w:rFonts w:ascii="Calibri" w:hAnsi="Calibri" w:cs="Calibri"/>
          <w:b/>
          <w:bCs/>
        </w:rPr>
      </w:pPr>
      <w:r>
        <w:rPr>
          <w:rFonts w:ascii="Calibri" w:hAnsi="Calibri" w:cs="Calibri"/>
          <w:b/>
          <w:bCs/>
        </w:rPr>
        <w:t>Memo</w:t>
      </w:r>
    </w:p>
    <w:p w14:paraId="3E187FC8" w14:textId="2BDCC5C4" w:rsidR="005A4F9E" w:rsidRDefault="005A4F9E" w:rsidP="00B61B30">
      <w:pPr>
        <w:rPr>
          <w:rFonts w:ascii="Calibri" w:hAnsi="Calibri" w:cs="Calibri"/>
          <w:b/>
          <w:bCs/>
        </w:rPr>
      </w:pPr>
      <w:r>
        <w:rPr>
          <w:rFonts w:ascii="Calibri" w:hAnsi="Calibri" w:cs="Calibri"/>
          <w:b/>
          <w:bCs/>
        </w:rPr>
        <w:t xml:space="preserve">Re: Finance Review of Health and Benefits Program </w:t>
      </w:r>
    </w:p>
    <w:p w14:paraId="50D6718D" w14:textId="44EEFE76" w:rsidR="005A4F9E" w:rsidRDefault="005A4F9E" w:rsidP="00B61B30">
      <w:pPr>
        <w:rPr>
          <w:rFonts w:ascii="Calibri" w:hAnsi="Calibri" w:cs="Calibri"/>
          <w:b/>
          <w:bCs/>
        </w:rPr>
      </w:pPr>
      <w:r>
        <w:rPr>
          <w:rFonts w:ascii="Calibri" w:hAnsi="Calibri" w:cs="Calibri"/>
          <w:b/>
          <w:bCs/>
        </w:rPr>
        <w:t xml:space="preserve">To: CEO &amp; NSFM Board of Directors </w:t>
      </w:r>
    </w:p>
    <w:p w14:paraId="72A80985" w14:textId="77777777" w:rsidR="00BB4381" w:rsidRDefault="00BB4381" w:rsidP="00B61B30">
      <w:pPr>
        <w:rPr>
          <w:rFonts w:ascii="Calibri" w:hAnsi="Calibri" w:cs="Calibri"/>
          <w:b/>
          <w:bCs/>
        </w:rPr>
      </w:pPr>
    </w:p>
    <w:p w14:paraId="3C86E0AC" w14:textId="3847D1F5" w:rsidR="00B61B30" w:rsidRPr="00C21E85" w:rsidRDefault="00B61B30" w:rsidP="00B61B30">
      <w:pPr>
        <w:rPr>
          <w:rFonts w:ascii="Calibri" w:hAnsi="Calibri" w:cs="Calibri"/>
        </w:rPr>
      </w:pPr>
      <w:r w:rsidRPr="00C21E85">
        <w:rPr>
          <w:rFonts w:ascii="Calibri" w:hAnsi="Calibri" w:cs="Calibri"/>
          <w:b/>
          <w:bCs/>
        </w:rPr>
        <w:t>Overview – Group Benefits Plan (ASO Arrangement)</w:t>
      </w:r>
    </w:p>
    <w:p w14:paraId="1D65F610" w14:textId="76B0EABB" w:rsidR="00B61B30" w:rsidRPr="00C21E85" w:rsidRDefault="00B61B30" w:rsidP="00B61B30">
      <w:pPr>
        <w:rPr>
          <w:rFonts w:ascii="Calibri" w:hAnsi="Calibri" w:cs="Calibri"/>
        </w:rPr>
      </w:pPr>
      <w:r w:rsidRPr="00C21E85">
        <w:rPr>
          <w:rFonts w:ascii="Calibri" w:hAnsi="Calibri" w:cs="Calibri"/>
        </w:rPr>
        <w:t>This memo provides a financial review of the NSFM Sponsored Health and Benefits Plan (“Plan”), focusing on the two distinct member pools</w:t>
      </w:r>
      <w:r w:rsidR="002514FF" w:rsidRPr="00C21E85">
        <w:rPr>
          <w:rFonts w:ascii="Calibri" w:hAnsi="Calibri" w:cs="Calibri"/>
        </w:rPr>
        <w:t xml:space="preserve"> – </w:t>
      </w:r>
      <w:r w:rsidRPr="00C21E85">
        <w:rPr>
          <w:rFonts w:ascii="Calibri" w:hAnsi="Calibri" w:cs="Calibri"/>
          <w:b/>
          <w:bCs/>
        </w:rPr>
        <w:t>Pool</w:t>
      </w:r>
      <w:r w:rsidR="0094707C" w:rsidRPr="00C21E85">
        <w:rPr>
          <w:rFonts w:ascii="Calibri" w:hAnsi="Calibri" w:cs="Calibri"/>
          <w:b/>
          <w:bCs/>
        </w:rPr>
        <w:t xml:space="preserve"> A</w:t>
      </w:r>
      <w:r w:rsidRPr="00C21E85">
        <w:rPr>
          <w:rFonts w:ascii="Calibri" w:hAnsi="Calibri" w:cs="Calibri"/>
          <w:b/>
          <w:bCs/>
        </w:rPr>
        <w:t xml:space="preserve"> </w:t>
      </w:r>
      <w:r w:rsidRPr="00C21E85">
        <w:rPr>
          <w:rFonts w:ascii="Calibri" w:hAnsi="Calibri" w:cs="Calibri"/>
        </w:rPr>
        <w:t xml:space="preserve">and </w:t>
      </w:r>
      <w:r w:rsidRPr="00C21E85">
        <w:rPr>
          <w:rFonts w:ascii="Calibri" w:hAnsi="Calibri" w:cs="Calibri"/>
          <w:b/>
          <w:bCs/>
        </w:rPr>
        <w:t>Pool B</w:t>
      </w:r>
      <w:r w:rsidR="002514FF" w:rsidRPr="00C21E85">
        <w:rPr>
          <w:rFonts w:ascii="Calibri" w:hAnsi="Calibri" w:cs="Calibri"/>
        </w:rPr>
        <w:t xml:space="preserve"> – </w:t>
      </w:r>
      <w:r w:rsidRPr="00C21E85">
        <w:rPr>
          <w:rFonts w:ascii="Calibri" w:hAnsi="Calibri" w:cs="Calibri"/>
        </w:rPr>
        <w:t>and the associated financial considerations</w:t>
      </w:r>
      <w:r w:rsidR="00E34A96" w:rsidRPr="00C21E85">
        <w:rPr>
          <w:rFonts w:ascii="Calibri" w:hAnsi="Calibri" w:cs="Calibri"/>
        </w:rPr>
        <w:t>.</w:t>
      </w:r>
    </w:p>
    <w:p w14:paraId="6B9D738A" w14:textId="2C7CB9C0" w:rsidR="00B61B30" w:rsidRPr="00C21E85" w:rsidRDefault="00B61B30" w:rsidP="00B61B30">
      <w:pPr>
        <w:rPr>
          <w:rFonts w:ascii="Calibri" w:hAnsi="Calibri" w:cs="Calibri"/>
        </w:rPr>
      </w:pPr>
      <w:r w:rsidRPr="00C21E85">
        <w:rPr>
          <w:rFonts w:ascii="Calibri" w:hAnsi="Calibri" w:cs="Calibri"/>
        </w:rPr>
        <w:t xml:space="preserve">The Plan operates under an </w:t>
      </w:r>
      <w:r w:rsidRPr="00691D79">
        <w:rPr>
          <w:rFonts w:ascii="Calibri" w:hAnsi="Calibri" w:cs="Calibri"/>
        </w:rPr>
        <w:t xml:space="preserve">Administrative Services Only (ASO) </w:t>
      </w:r>
      <w:r w:rsidR="00BE01CE" w:rsidRPr="00691D79">
        <w:rPr>
          <w:rFonts w:ascii="Calibri" w:hAnsi="Calibri" w:cs="Calibri"/>
        </w:rPr>
        <w:t>f</w:t>
      </w:r>
      <w:r w:rsidR="00BE01CE" w:rsidRPr="00C21E85">
        <w:rPr>
          <w:rFonts w:ascii="Calibri" w:hAnsi="Calibri" w:cs="Calibri"/>
        </w:rPr>
        <w:t xml:space="preserve">unding </w:t>
      </w:r>
      <w:r w:rsidRPr="00C21E85">
        <w:rPr>
          <w:rFonts w:ascii="Calibri" w:hAnsi="Calibri" w:cs="Calibri"/>
        </w:rPr>
        <w:t xml:space="preserve">arrangement, a common structure for plans of this size. Under this model, the Plan is responsible for paying the actual cost of health and dental </w:t>
      </w:r>
      <w:r w:rsidR="00CE5034" w:rsidRPr="00C21E85">
        <w:rPr>
          <w:rFonts w:ascii="Calibri" w:hAnsi="Calibri" w:cs="Calibri"/>
        </w:rPr>
        <w:t>claims and</w:t>
      </w:r>
      <w:r w:rsidRPr="00C21E85">
        <w:rPr>
          <w:rFonts w:ascii="Calibri" w:hAnsi="Calibri" w:cs="Calibri"/>
        </w:rPr>
        <w:t xml:space="preserve"> </w:t>
      </w:r>
      <w:r w:rsidR="00CE5034" w:rsidRPr="00C21E85">
        <w:rPr>
          <w:rFonts w:ascii="Calibri" w:hAnsi="Calibri" w:cs="Calibri"/>
        </w:rPr>
        <w:t xml:space="preserve">a fee is paid to </w:t>
      </w:r>
      <w:r w:rsidRPr="00C21E85">
        <w:rPr>
          <w:rFonts w:ascii="Calibri" w:hAnsi="Calibri" w:cs="Calibri"/>
        </w:rPr>
        <w:t>the insurer (</w:t>
      </w:r>
      <w:proofErr w:type="spellStart"/>
      <w:r w:rsidRPr="00C21E85">
        <w:rPr>
          <w:rFonts w:ascii="Calibri" w:hAnsi="Calibri" w:cs="Calibri"/>
        </w:rPr>
        <w:t>Medavie</w:t>
      </w:r>
      <w:proofErr w:type="spellEnd"/>
      <w:r w:rsidRPr="00C21E85">
        <w:rPr>
          <w:rFonts w:ascii="Calibri" w:hAnsi="Calibri" w:cs="Calibri"/>
        </w:rPr>
        <w:t xml:space="preserve"> Blue Cross) to manage the administration and payment of claims.</w:t>
      </w:r>
    </w:p>
    <w:p w14:paraId="12666A06" w14:textId="77777777" w:rsidR="00B61B30" w:rsidRPr="00C21E85" w:rsidRDefault="00076204" w:rsidP="00B61B30">
      <w:pPr>
        <w:rPr>
          <w:rFonts w:ascii="Calibri" w:hAnsi="Calibri" w:cs="Calibri"/>
        </w:rPr>
      </w:pPr>
      <w:r>
        <w:rPr>
          <w:rFonts w:ascii="Calibri" w:hAnsi="Calibri" w:cs="Calibri"/>
        </w:rPr>
        <w:pict w14:anchorId="76EDBBDD">
          <v:rect id="_x0000_i1025" style="width:0;height:1.5pt" o:hralign="center" o:hrstd="t" o:hr="t" fillcolor="#a0a0a0" stroked="f"/>
        </w:pict>
      </w:r>
    </w:p>
    <w:p w14:paraId="7DFE2970" w14:textId="77777777" w:rsidR="00B61B30" w:rsidRPr="00C21E85" w:rsidRDefault="00B61B30" w:rsidP="00B61B30">
      <w:pPr>
        <w:rPr>
          <w:rFonts w:ascii="Calibri" w:hAnsi="Calibri" w:cs="Calibri"/>
          <w:b/>
          <w:bCs/>
        </w:rPr>
      </w:pPr>
      <w:r w:rsidRPr="00C21E85">
        <w:rPr>
          <w:rFonts w:ascii="Calibri" w:hAnsi="Calibri" w:cs="Calibri"/>
          <w:b/>
          <w:bCs/>
        </w:rPr>
        <w:t>Pool A: Entities with Fewer Than 50 Employees</w:t>
      </w:r>
    </w:p>
    <w:p w14:paraId="1A88B5E9" w14:textId="77777777" w:rsidR="00B61B30" w:rsidRPr="00C21E85" w:rsidRDefault="00B61B30" w:rsidP="00B61B30">
      <w:pPr>
        <w:rPr>
          <w:rFonts w:ascii="Calibri" w:hAnsi="Calibri" w:cs="Calibri"/>
          <w:b/>
          <w:bCs/>
        </w:rPr>
      </w:pPr>
      <w:r w:rsidRPr="00C21E85">
        <w:rPr>
          <w:rFonts w:ascii="Calibri" w:hAnsi="Calibri" w:cs="Calibri"/>
          <w:b/>
          <w:bCs/>
        </w:rPr>
        <w:t>1. Structure</w:t>
      </w:r>
    </w:p>
    <w:p w14:paraId="53C9CB01" w14:textId="69ED9C07" w:rsidR="00B61B30" w:rsidRPr="00C21E85" w:rsidRDefault="00B61B30" w:rsidP="00B61B30">
      <w:pPr>
        <w:rPr>
          <w:rFonts w:ascii="Calibri" w:hAnsi="Calibri" w:cs="Calibri"/>
        </w:rPr>
      </w:pPr>
      <w:r w:rsidRPr="00C21E85">
        <w:rPr>
          <w:rFonts w:ascii="Calibri" w:hAnsi="Calibri" w:cs="Calibri"/>
        </w:rPr>
        <w:t xml:space="preserve">Municipalities with less than 50 employees </w:t>
      </w:r>
      <w:r w:rsidR="00CE5034" w:rsidRPr="00C21E85">
        <w:rPr>
          <w:rFonts w:ascii="Calibri" w:hAnsi="Calibri" w:cs="Calibri"/>
        </w:rPr>
        <w:t>are part of</w:t>
      </w:r>
      <w:r w:rsidRPr="00C21E85">
        <w:rPr>
          <w:rFonts w:ascii="Calibri" w:hAnsi="Calibri" w:cs="Calibri"/>
        </w:rPr>
        <w:t xml:space="preserve"> Pool A. </w:t>
      </w:r>
      <w:r w:rsidR="00BE01CE" w:rsidRPr="00C21E85">
        <w:rPr>
          <w:rFonts w:ascii="Calibri" w:hAnsi="Calibri" w:cs="Calibri"/>
        </w:rPr>
        <w:t>In consultation with Hub, the Plan’s benefit consultant, health and dental r</w:t>
      </w:r>
      <w:r w:rsidRPr="00C21E85">
        <w:rPr>
          <w:rFonts w:ascii="Calibri" w:hAnsi="Calibri" w:cs="Calibri"/>
        </w:rPr>
        <w:t xml:space="preserve">ates are set </w:t>
      </w:r>
      <w:r w:rsidR="00CE5034" w:rsidRPr="00C21E85">
        <w:rPr>
          <w:rFonts w:ascii="Calibri" w:hAnsi="Calibri" w:cs="Calibri"/>
        </w:rPr>
        <w:t>annually. Rates are determined based on the</w:t>
      </w:r>
      <w:r w:rsidRPr="00C21E85">
        <w:rPr>
          <w:rFonts w:ascii="Calibri" w:hAnsi="Calibri" w:cs="Calibri"/>
        </w:rPr>
        <w:t xml:space="preserve"> collective claims experience of all Pool A </w:t>
      </w:r>
      <w:r w:rsidR="00BE01CE" w:rsidRPr="00C21E85">
        <w:rPr>
          <w:rFonts w:ascii="Calibri" w:hAnsi="Calibri" w:cs="Calibri"/>
        </w:rPr>
        <w:t>groups</w:t>
      </w:r>
      <w:r w:rsidRPr="00C21E85">
        <w:rPr>
          <w:rFonts w:ascii="Calibri" w:hAnsi="Calibri" w:cs="Calibri"/>
        </w:rPr>
        <w:t xml:space="preserve">, along with applicable administrative fees and required reserves. </w:t>
      </w:r>
    </w:p>
    <w:p w14:paraId="5C166AEE" w14:textId="7F7DCB1D" w:rsidR="00B61B30" w:rsidRPr="00C21E85" w:rsidRDefault="00B61B30" w:rsidP="00B61B30">
      <w:pPr>
        <w:rPr>
          <w:rFonts w:ascii="Calibri" w:hAnsi="Calibri" w:cs="Calibri"/>
          <w:b/>
          <w:bCs/>
        </w:rPr>
      </w:pPr>
      <w:r w:rsidRPr="00C21E85">
        <w:rPr>
          <w:rFonts w:ascii="Calibri" w:hAnsi="Calibri" w:cs="Calibri"/>
          <w:b/>
          <w:bCs/>
        </w:rPr>
        <w:t>2. Financial Liabilities</w:t>
      </w:r>
    </w:p>
    <w:p w14:paraId="2233A6BB" w14:textId="74203D3D" w:rsidR="00B61B30" w:rsidRPr="00C21E85" w:rsidRDefault="00B61B30" w:rsidP="00B61B30">
      <w:pPr>
        <w:rPr>
          <w:rFonts w:ascii="Calibri" w:hAnsi="Calibri" w:cs="Calibri"/>
        </w:rPr>
      </w:pPr>
      <w:r w:rsidRPr="00C21E85">
        <w:rPr>
          <w:rFonts w:ascii="Calibri" w:hAnsi="Calibri" w:cs="Calibri"/>
        </w:rPr>
        <w:t xml:space="preserve">Pool A municipalities are responsible for paying monthly invoices based on the established rates. If an invoice is not paid, the insurer will notify the NSFM (as the Plan Sponsor) and suspend claim payments. NSFM assumes liability for any funding shortfalls within Pool A; however, this </w:t>
      </w:r>
      <w:r w:rsidRPr="00691D79">
        <w:rPr>
          <w:rFonts w:ascii="Calibri" w:hAnsi="Calibri" w:cs="Calibri"/>
        </w:rPr>
        <w:t>financial risk is mitigated through several factors:</w:t>
      </w:r>
    </w:p>
    <w:p w14:paraId="5FE97D54" w14:textId="1F61AE75" w:rsidR="006964A5" w:rsidRPr="00C21E85" w:rsidRDefault="00B61B30" w:rsidP="0079441C">
      <w:pPr>
        <w:numPr>
          <w:ilvl w:val="0"/>
          <w:numId w:val="1"/>
        </w:numPr>
        <w:rPr>
          <w:rFonts w:ascii="Calibri" w:hAnsi="Calibri" w:cs="Calibri"/>
        </w:rPr>
      </w:pPr>
      <w:r w:rsidRPr="00C21E85">
        <w:rPr>
          <w:rFonts w:ascii="Calibri" w:hAnsi="Calibri" w:cs="Calibri"/>
          <w:b/>
          <w:bCs/>
        </w:rPr>
        <w:t>High-Cost Claims</w:t>
      </w:r>
      <w:r w:rsidRPr="00C21E85">
        <w:rPr>
          <w:rFonts w:ascii="Calibri" w:hAnsi="Calibri" w:cs="Calibri"/>
        </w:rPr>
        <w:t xml:space="preserve">: </w:t>
      </w:r>
      <w:r w:rsidR="006964A5" w:rsidRPr="00C21E85">
        <w:rPr>
          <w:rFonts w:ascii="Calibri" w:hAnsi="Calibri" w:cs="Calibri"/>
        </w:rPr>
        <w:t>The ASO plan includes large amount pooling protection, which helps limit the financial exposure. If an individual’s health or emergency travel claim</w:t>
      </w:r>
      <w:r w:rsidR="00BE01CE" w:rsidRPr="00C21E85">
        <w:rPr>
          <w:rFonts w:ascii="Calibri" w:hAnsi="Calibri" w:cs="Calibri"/>
        </w:rPr>
        <w:t>s</w:t>
      </w:r>
      <w:r w:rsidR="006964A5" w:rsidRPr="00C21E85">
        <w:rPr>
          <w:rFonts w:ascii="Calibri" w:hAnsi="Calibri" w:cs="Calibri"/>
        </w:rPr>
        <w:t xml:space="preserve"> </w:t>
      </w:r>
      <w:r w:rsidR="002514FF" w:rsidRPr="00C21E85">
        <w:rPr>
          <w:rFonts w:ascii="Calibri" w:hAnsi="Calibri" w:cs="Calibri"/>
        </w:rPr>
        <w:t>exceed</w:t>
      </w:r>
      <w:r w:rsidR="006964A5" w:rsidRPr="00C21E85">
        <w:rPr>
          <w:rFonts w:ascii="Calibri" w:hAnsi="Calibri" w:cs="Calibri"/>
        </w:rPr>
        <w:t xml:space="preserve"> a set threshold, the insurer assumes responsibility for the</w:t>
      </w:r>
      <w:r w:rsidR="00BE01CE" w:rsidRPr="00C21E85">
        <w:rPr>
          <w:rFonts w:ascii="Calibri" w:hAnsi="Calibri" w:cs="Calibri"/>
        </w:rPr>
        <w:t xml:space="preserve"> claims</w:t>
      </w:r>
      <w:r w:rsidR="006964A5" w:rsidRPr="00C21E85">
        <w:rPr>
          <w:rFonts w:ascii="Calibri" w:hAnsi="Calibri" w:cs="Calibri"/>
        </w:rPr>
        <w:t xml:space="preserve"> amount above the threshold, ensuring the Plan is protected from the impact of </w:t>
      </w:r>
      <w:r w:rsidR="00CE5034" w:rsidRPr="00C21E85">
        <w:rPr>
          <w:rFonts w:ascii="Calibri" w:hAnsi="Calibri" w:cs="Calibri"/>
        </w:rPr>
        <w:t>unexpected</w:t>
      </w:r>
      <w:r w:rsidR="006964A5" w:rsidRPr="00C21E85">
        <w:rPr>
          <w:rFonts w:ascii="Calibri" w:hAnsi="Calibri" w:cs="Calibri"/>
        </w:rPr>
        <w:t xml:space="preserve"> high claim</w:t>
      </w:r>
      <w:r w:rsidR="00CE5034" w:rsidRPr="00C21E85">
        <w:rPr>
          <w:rFonts w:ascii="Calibri" w:hAnsi="Calibri" w:cs="Calibri"/>
        </w:rPr>
        <w:t xml:space="preserve"> costs</w:t>
      </w:r>
      <w:r w:rsidR="006964A5" w:rsidRPr="00C21E85">
        <w:rPr>
          <w:rFonts w:ascii="Calibri" w:hAnsi="Calibri" w:cs="Calibri"/>
        </w:rPr>
        <w:t>.</w:t>
      </w:r>
    </w:p>
    <w:p w14:paraId="5A6219DA" w14:textId="2B9A53AB" w:rsidR="00B61B30" w:rsidRPr="00C21E85" w:rsidRDefault="00B61B30" w:rsidP="0079441C">
      <w:pPr>
        <w:numPr>
          <w:ilvl w:val="0"/>
          <w:numId w:val="1"/>
        </w:numPr>
        <w:rPr>
          <w:rFonts w:ascii="Calibri" w:hAnsi="Calibri" w:cs="Calibri"/>
        </w:rPr>
      </w:pPr>
      <w:r w:rsidRPr="00C21E85">
        <w:rPr>
          <w:rFonts w:ascii="Calibri" w:hAnsi="Calibri" w:cs="Calibri"/>
          <w:b/>
          <w:bCs/>
        </w:rPr>
        <w:lastRenderedPageBreak/>
        <w:t>Cost Sharing</w:t>
      </w:r>
      <w:r w:rsidRPr="00C21E85">
        <w:rPr>
          <w:rFonts w:ascii="Calibri" w:hAnsi="Calibri" w:cs="Calibri"/>
        </w:rPr>
        <w:t>: Municipalities cost-share the required rates with employees. Employee contributions are deducted via payroll and allocated toward</w:t>
      </w:r>
      <w:r w:rsidR="00CE5034" w:rsidRPr="00C21E85">
        <w:rPr>
          <w:rFonts w:ascii="Calibri" w:hAnsi="Calibri" w:cs="Calibri"/>
        </w:rPr>
        <w:t>s payment of</w:t>
      </w:r>
      <w:r w:rsidRPr="00C21E85">
        <w:rPr>
          <w:rFonts w:ascii="Calibri" w:hAnsi="Calibri" w:cs="Calibri"/>
        </w:rPr>
        <w:t xml:space="preserve"> the monthly invoice.</w:t>
      </w:r>
    </w:p>
    <w:p w14:paraId="00869432" w14:textId="566E2B85" w:rsidR="00B61B30" w:rsidRPr="00C21E85" w:rsidRDefault="00B61B30" w:rsidP="00B61B30">
      <w:pPr>
        <w:numPr>
          <w:ilvl w:val="0"/>
          <w:numId w:val="1"/>
        </w:numPr>
        <w:rPr>
          <w:rFonts w:ascii="Calibri" w:hAnsi="Calibri" w:cs="Calibri"/>
        </w:rPr>
      </w:pPr>
      <w:r w:rsidRPr="00C21E85">
        <w:rPr>
          <w:rFonts w:ascii="Calibri" w:hAnsi="Calibri" w:cs="Calibri"/>
          <w:b/>
          <w:bCs/>
        </w:rPr>
        <w:t>Reserve</w:t>
      </w:r>
      <w:r w:rsidRPr="00C21E85">
        <w:rPr>
          <w:rFonts w:ascii="Calibri" w:hAnsi="Calibri" w:cs="Calibri"/>
        </w:rPr>
        <w:t xml:space="preserve">: A shared reserve across all Pool A municipalities helps buffer the impact of any single municipality’s </w:t>
      </w:r>
      <w:r w:rsidR="00BE01CE" w:rsidRPr="00C21E85">
        <w:rPr>
          <w:rFonts w:ascii="Calibri" w:hAnsi="Calibri" w:cs="Calibri"/>
        </w:rPr>
        <w:t xml:space="preserve">potential </w:t>
      </w:r>
      <w:r w:rsidRPr="00C21E85">
        <w:rPr>
          <w:rFonts w:ascii="Calibri" w:hAnsi="Calibri" w:cs="Calibri"/>
        </w:rPr>
        <w:t>default.</w:t>
      </w:r>
    </w:p>
    <w:p w14:paraId="45EFE707" w14:textId="50E583FD" w:rsidR="00B61B30" w:rsidRPr="00C21E85" w:rsidRDefault="00B61B30" w:rsidP="00B61B30">
      <w:pPr>
        <w:numPr>
          <w:ilvl w:val="0"/>
          <w:numId w:val="1"/>
        </w:numPr>
        <w:rPr>
          <w:rFonts w:ascii="Calibri" w:hAnsi="Calibri" w:cs="Calibri"/>
        </w:rPr>
      </w:pPr>
      <w:r w:rsidRPr="00C21E85">
        <w:rPr>
          <w:rFonts w:ascii="Calibri" w:hAnsi="Calibri" w:cs="Calibri"/>
          <w:b/>
          <w:bCs/>
        </w:rPr>
        <w:t>Participation Agreement</w:t>
      </w:r>
      <w:r w:rsidRPr="00C21E85">
        <w:rPr>
          <w:rFonts w:ascii="Calibri" w:hAnsi="Calibri" w:cs="Calibri"/>
        </w:rPr>
        <w:t xml:space="preserve">: </w:t>
      </w:r>
      <w:r w:rsidR="006964A5" w:rsidRPr="00C21E85">
        <w:rPr>
          <w:rFonts w:ascii="Calibri" w:hAnsi="Calibri" w:cs="Calibri"/>
        </w:rPr>
        <w:t>The Plan has a</w:t>
      </w:r>
      <w:r w:rsidR="00BE01CE" w:rsidRPr="00C21E85">
        <w:rPr>
          <w:rFonts w:ascii="Calibri" w:hAnsi="Calibri" w:cs="Calibri"/>
        </w:rPr>
        <w:t>n established</w:t>
      </w:r>
      <w:r w:rsidRPr="00C21E85">
        <w:rPr>
          <w:rFonts w:ascii="Calibri" w:hAnsi="Calibri" w:cs="Calibri"/>
        </w:rPr>
        <w:t xml:space="preserve"> Participation Agreement outlining responsibilities, including timely payment of </w:t>
      </w:r>
      <w:r w:rsidR="00BE01CE" w:rsidRPr="00C21E85">
        <w:rPr>
          <w:rFonts w:ascii="Calibri" w:hAnsi="Calibri" w:cs="Calibri"/>
        </w:rPr>
        <w:t>required rates</w:t>
      </w:r>
      <w:r w:rsidRPr="00C21E85">
        <w:rPr>
          <w:rFonts w:ascii="Calibri" w:hAnsi="Calibri" w:cs="Calibri"/>
        </w:rPr>
        <w:t>.</w:t>
      </w:r>
    </w:p>
    <w:p w14:paraId="1F7EDF79" w14:textId="3B70EED1" w:rsidR="00B61B30" w:rsidRPr="00C21E85" w:rsidRDefault="00B61B30" w:rsidP="00B61B30">
      <w:pPr>
        <w:numPr>
          <w:ilvl w:val="0"/>
          <w:numId w:val="1"/>
        </w:numPr>
        <w:rPr>
          <w:rFonts w:ascii="Calibri" w:hAnsi="Calibri" w:cs="Calibri"/>
        </w:rPr>
      </w:pPr>
      <w:r w:rsidRPr="00C21E85">
        <w:rPr>
          <w:rFonts w:ascii="Calibri" w:hAnsi="Calibri" w:cs="Calibri"/>
          <w:b/>
          <w:bCs/>
        </w:rPr>
        <w:t>Pre-Authorized Payments</w:t>
      </w:r>
      <w:r w:rsidRPr="00C21E85">
        <w:rPr>
          <w:rFonts w:ascii="Calibri" w:hAnsi="Calibri" w:cs="Calibri"/>
        </w:rPr>
        <w:t>: Invoic</w:t>
      </w:r>
      <w:r w:rsidR="00BE01CE" w:rsidRPr="00C21E85">
        <w:rPr>
          <w:rFonts w:ascii="Calibri" w:hAnsi="Calibri" w:cs="Calibri"/>
        </w:rPr>
        <w:t>e payment is</w:t>
      </w:r>
      <w:r w:rsidRPr="00C21E85">
        <w:rPr>
          <w:rFonts w:ascii="Calibri" w:hAnsi="Calibri" w:cs="Calibri"/>
        </w:rPr>
        <w:t xml:space="preserve"> collected via Pre-Authorized Debit (PAD), reducing the risk of missed payments since claims will not be paid if </w:t>
      </w:r>
      <w:r w:rsidR="00BE01CE" w:rsidRPr="00C21E85">
        <w:rPr>
          <w:rFonts w:ascii="Calibri" w:hAnsi="Calibri" w:cs="Calibri"/>
        </w:rPr>
        <w:t>payment is</w:t>
      </w:r>
      <w:r w:rsidRPr="00C21E85">
        <w:rPr>
          <w:rFonts w:ascii="Calibri" w:hAnsi="Calibri" w:cs="Calibri"/>
        </w:rPr>
        <w:t xml:space="preserve"> outstanding</w:t>
      </w:r>
      <w:r w:rsidR="00925FD1">
        <w:rPr>
          <w:rFonts w:ascii="Calibri" w:hAnsi="Calibri" w:cs="Calibri"/>
        </w:rPr>
        <w:t xml:space="preserve"> past the grace period</w:t>
      </w:r>
      <w:r w:rsidRPr="00C21E85">
        <w:rPr>
          <w:rFonts w:ascii="Calibri" w:hAnsi="Calibri" w:cs="Calibri"/>
        </w:rPr>
        <w:t>.</w:t>
      </w:r>
      <w:r w:rsidR="006C0DE4" w:rsidRPr="00C21E85">
        <w:rPr>
          <w:rFonts w:ascii="Calibri" w:hAnsi="Calibri" w:cs="Calibri"/>
        </w:rPr>
        <w:t xml:space="preserve"> </w:t>
      </w:r>
    </w:p>
    <w:p w14:paraId="596824E5" w14:textId="657BBAA3" w:rsidR="006C0DE4" w:rsidRPr="00C21E85" w:rsidRDefault="006C0DE4" w:rsidP="00E16F0D">
      <w:pPr>
        <w:numPr>
          <w:ilvl w:val="0"/>
          <w:numId w:val="1"/>
        </w:numPr>
        <w:rPr>
          <w:rFonts w:ascii="Calibri" w:hAnsi="Calibri" w:cs="Calibri"/>
          <w:b/>
          <w:bCs/>
        </w:rPr>
      </w:pPr>
      <w:r w:rsidRPr="00C21E85">
        <w:rPr>
          <w:rFonts w:ascii="Calibri" w:hAnsi="Calibri" w:cs="Calibri"/>
          <w:b/>
          <w:bCs/>
        </w:rPr>
        <w:t>Claims Payment Suspension Due to Non-Payment:</w:t>
      </w:r>
      <w:r w:rsidRPr="00C21E85">
        <w:rPr>
          <w:rFonts w:ascii="Calibri" w:hAnsi="Calibri" w:cs="Calibri"/>
        </w:rPr>
        <w:t xml:space="preserve"> If an entity misses a payment, there is a 31-day grace period to make the required payment. If not received within this period, the insurer will consult with the NSFM and may suspend the payment of claims. If payment remains outstanding by the end of the following month, claim payments will be terminated. </w:t>
      </w:r>
    </w:p>
    <w:p w14:paraId="614FE16C" w14:textId="663D5163" w:rsidR="00B61B30" w:rsidRPr="00C21E85" w:rsidRDefault="00B61B30" w:rsidP="006C0DE4">
      <w:pPr>
        <w:rPr>
          <w:rFonts w:ascii="Calibri" w:hAnsi="Calibri" w:cs="Calibri"/>
          <w:b/>
          <w:bCs/>
        </w:rPr>
      </w:pPr>
      <w:r w:rsidRPr="00C21E85">
        <w:rPr>
          <w:rFonts w:ascii="Calibri" w:hAnsi="Calibri" w:cs="Calibri"/>
          <w:b/>
          <w:bCs/>
        </w:rPr>
        <w:t>3. Reserve Management</w:t>
      </w:r>
    </w:p>
    <w:p w14:paraId="5087DC7A" w14:textId="3C82F300" w:rsidR="00B61B30" w:rsidRPr="00C21E85" w:rsidRDefault="00B61B30" w:rsidP="00B61B30">
      <w:pPr>
        <w:rPr>
          <w:rFonts w:ascii="Calibri" w:hAnsi="Calibri" w:cs="Calibri"/>
        </w:rPr>
      </w:pPr>
      <w:r w:rsidRPr="00C21E85">
        <w:rPr>
          <w:rFonts w:ascii="Calibri" w:hAnsi="Calibri" w:cs="Calibri"/>
        </w:rPr>
        <w:t xml:space="preserve">At the 2025 renewal, rates were set to establish and maintain </w:t>
      </w:r>
      <w:r w:rsidR="006964A5" w:rsidRPr="00C21E85">
        <w:rPr>
          <w:rFonts w:ascii="Calibri" w:hAnsi="Calibri" w:cs="Calibri"/>
        </w:rPr>
        <w:t>a</w:t>
      </w:r>
      <w:r w:rsidRPr="00C21E85">
        <w:rPr>
          <w:rFonts w:ascii="Calibri" w:hAnsi="Calibri" w:cs="Calibri"/>
        </w:rPr>
        <w:t xml:space="preserve"> reserve</w:t>
      </w:r>
      <w:r w:rsidR="006964A5" w:rsidRPr="00C21E85">
        <w:rPr>
          <w:rFonts w:ascii="Calibri" w:hAnsi="Calibri" w:cs="Calibri"/>
        </w:rPr>
        <w:t xml:space="preserve"> equal to 15% of paid claims. This reserve requirement is managed by the NSFM and has been implemented to mitigate NSFM’s financial exposure.</w:t>
      </w:r>
    </w:p>
    <w:p w14:paraId="072211E9" w14:textId="77777777" w:rsidR="00B61B30" w:rsidRPr="00C21E85" w:rsidRDefault="00B61B30" w:rsidP="00B61B30">
      <w:pPr>
        <w:rPr>
          <w:rFonts w:ascii="Calibri" w:hAnsi="Calibri" w:cs="Calibri"/>
          <w:b/>
          <w:bCs/>
        </w:rPr>
      </w:pPr>
      <w:r w:rsidRPr="00C21E85">
        <w:rPr>
          <w:rFonts w:ascii="Calibri" w:hAnsi="Calibri" w:cs="Calibri"/>
          <w:b/>
          <w:bCs/>
        </w:rPr>
        <w:t>4. Reserve Adequacy</w:t>
      </w:r>
    </w:p>
    <w:p w14:paraId="4115C61A" w14:textId="2EF69B0C" w:rsidR="00B61B30" w:rsidRPr="00C21E85" w:rsidRDefault="00CE5034" w:rsidP="00B61B30">
      <w:pPr>
        <w:rPr>
          <w:rFonts w:ascii="Calibri" w:hAnsi="Calibri" w:cs="Calibri"/>
        </w:rPr>
      </w:pPr>
      <w:r w:rsidRPr="00C21E85">
        <w:rPr>
          <w:rFonts w:ascii="Calibri" w:hAnsi="Calibri" w:cs="Calibri"/>
        </w:rPr>
        <w:t>In consultation with Hub, t</w:t>
      </w:r>
      <w:r w:rsidR="006964A5" w:rsidRPr="00C21E85">
        <w:rPr>
          <w:rFonts w:ascii="Calibri" w:hAnsi="Calibri" w:cs="Calibri"/>
        </w:rPr>
        <w:t>he NSFM conducted a review of the reserve requirement</w:t>
      </w:r>
      <w:r w:rsidRPr="00C21E85">
        <w:rPr>
          <w:rFonts w:ascii="Calibri" w:hAnsi="Calibri" w:cs="Calibri"/>
        </w:rPr>
        <w:t>s for the Plan</w:t>
      </w:r>
      <w:r w:rsidR="006964A5" w:rsidRPr="00C21E85">
        <w:rPr>
          <w:rFonts w:ascii="Calibri" w:hAnsi="Calibri" w:cs="Calibri"/>
        </w:rPr>
        <w:t xml:space="preserve">. </w:t>
      </w:r>
      <w:r w:rsidR="00B61B30" w:rsidRPr="00C21E85">
        <w:rPr>
          <w:rFonts w:ascii="Calibri" w:hAnsi="Calibri" w:cs="Calibri"/>
        </w:rPr>
        <w:t xml:space="preserve">HUB confirmed that a 15% reserve aligns with industry standards and best practices. </w:t>
      </w:r>
      <w:r w:rsidRPr="00C21E85">
        <w:rPr>
          <w:rFonts w:ascii="Calibri" w:hAnsi="Calibri" w:cs="Calibri"/>
        </w:rPr>
        <w:t xml:space="preserve">This reserve is more than twice the expected yearly increase in claims (estimated at 4.8% to 7.2%) and includes an extra buffer to help manage future changes in claim amounts. </w:t>
      </w:r>
      <w:r w:rsidR="00B61B30" w:rsidRPr="00C21E85">
        <w:rPr>
          <w:rFonts w:ascii="Calibri" w:hAnsi="Calibri" w:cs="Calibri"/>
        </w:rPr>
        <w:t>It also ensures claims can be paid while contributions from municipalities and employees are in progress.</w:t>
      </w:r>
      <w:r w:rsidR="00C322ED">
        <w:rPr>
          <w:rFonts w:ascii="Calibri" w:hAnsi="Calibri" w:cs="Calibri"/>
        </w:rPr>
        <w:t xml:space="preserve"> </w:t>
      </w:r>
    </w:p>
    <w:p w14:paraId="7B5D9E98" w14:textId="77777777" w:rsidR="00B61B30" w:rsidRPr="00C21E85" w:rsidRDefault="00076204" w:rsidP="00B61B30">
      <w:pPr>
        <w:rPr>
          <w:rFonts w:ascii="Calibri" w:hAnsi="Calibri" w:cs="Calibri"/>
        </w:rPr>
      </w:pPr>
      <w:r>
        <w:rPr>
          <w:rFonts w:ascii="Calibri" w:hAnsi="Calibri" w:cs="Calibri"/>
        </w:rPr>
        <w:pict w14:anchorId="194D10B6">
          <v:rect id="_x0000_i1026" style="width:0;height:1.5pt" o:hralign="center" o:hrstd="t" o:hr="t" fillcolor="#a0a0a0" stroked="f"/>
        </w:pict>
      </w:r>
    </w:p>
    <w:p w14:paraId="519A348A" w14:textId="77777777" w:rsidR="00B61B30" w:rsidRPr="00C21E85" w:rsidRDefault="00B61B30" w:rsidP="00B61B30">
      <w:pPr>
        <w:rPr>
          <w:rFonts w:ascii="Calibri" w:hAnsi="Calibri" w:cs="Calibri"/>
          <w:b/>
          <w:bCs/>
        </w:rPr>
      </w:pPr>
      <w:r w:rsidRPr="00C21E85">
        <w:rPr>
          <w:rFonts w:ascii="Calibri" w:hAnsi="Calibri" w:cs="Calibri"/>
          <w:b/>
          <w:bCs/>
        </w:rPr>
        <w:t>Pool B: Entities with 50 or More Employees</w:t>
      </w:r>
    </w:p>
    <w:p w14:paraId="23DE6DC6" w14:textId="77777777" w:rsidR="00B61B30" w:rsidRPr="00C21E85" w:rsidRDefault="00B61B30" w:rsidP="00B61B30">
      <w:pPr>
        <w:rPr>
          <w:rFonts w:ascii="Calibri" w:hAnsi="Calibri" w:cs="Calibri"/>
          <w:b/>
          <w:bCs/>
        </w:rPr>
      </w:pPr>
      <w:r w:rsidRPr="00C21E85">
        <w:rPr>
          <w:rFonts w:ascii="Calibri" w:hAnsi="Calibri" w:cs="Calibri"/>
          <w:b/>
          <w:bCs/>
        </w:rPr>
        <w:t>1. Structure</w:t>
      </w:r>
    </w:p>
    <w:p w14:paraId="3894C2BA" w14:textId="6E773936" w:rsidR="00CE5034" w:rsidRPr="00C21E85" w:rsidRDefault="00B61B30" w:rsidP="00B61B30">
      <w:pPr>
        <w:rPr>
          <w:rFonts w:ascii="Calibri" w:hAnsi="Calibri" w:cs="Calibri"/>
        </w:rPr>
      </w:pPr>
      <w:r w:rsidRPr="00C21E85">
        <w:rPr>
          <w:rFonts w:ascii="Calibri" w:hAnsi="Calibri" w:cs="Calibri"/>
        </w:rPr>
        <w:t>Each Pool B municipality operates independently</w:t>
      </w:r>
      <w:r w:rsidR="00812635" w:rsidRPr="00C21E85">
        <w:rPr>
          <w:rFonts w:ascii="Calibri" w:hAnsi="Calibri" w:cs="Calibri"/>
        </w:rPr>
        <w:t xml:space="preserve">. </w:t>
      </w:r>
      <w:r w:rsidR="00BE01CE" w:rsidRPr="00C21E85">
        <w:rPr>
          <w:rFonts w:ascii="Calibri" w:hAnsi="Calibri" w:cs="Calibri"/>
        </w:rPr>
        <w:t xml:space="preserve">In consultation with Hub, health and dental rates are set annually, </w:t>
      </w:r>
      <w:r w:rsidR="00CE5034" w:rsidRPr="00C21E85">
        <w:rPr>
          <w:rFonts w:ascii="Calibri" w:hAnsi="Calibri" w:cs="Calibri"/>
        </w:rPr>
        <w:t xml:space="preserve">and are determined based on each </w:t>
      </w:r>
      <w:r w:rsidR="00BE01CE" w:rsidRPr="00C21E85">
        <w:rPr>
          <w:rFonts w:ascii="Calibri" w:hAnsi="Calibri" w:cs="Calibri"/>
        </w:rPr>
        <w:t xml:space="preserve">Pool B </w:t>
      </w:r>
      <w:r w:rsidR="00CE5034" w:rsidRPr="00C21E85">
        <w:rPr>
          <w:rFonts w:ascii="Calibri" w:hAnsi="Calibri" w:cs="Calibri"/>
        </w:rPr>
        <w:t xml:space="preserve">municipality’s </w:t>
      </w:r>
      <w:r w:rsidR="00BE01CE" w:rsidRPr="00C21E85">
        <w:rPr>
          <w:rFonts w:ascii="Calibri" w:hAnsi="Calibri" w:cs="Calibri"/>
        </w:rPr>
        <w:t xml:space="preserve">own </w:t>
      </w:r>
      <w:r w:rsidR="00CE5034" w:rsidRPr="00C21E85">
        <w:rPr>
          <w:rFonts w:ascii="Calibri" w:hAnsi="Calibri" w:cs="Calibri"/>
        </w:rPr>
        <w:t xml:space="preserve">claims experience, along with applicable administrative fees and reserve requirements. Each Pool B </w:t>
      </w:r>
      <w:r w:rsidR="00CE5034" w:rsidRPr="00C21E85">
        <w:rPr>
          <w:rFonts w:ascii="Calibri" w:hAnsi="Calibri" w:cs="Calibri"/>
        </w:rPr>
        <w:lastRenderedPageBreak/>
        <w:t>municipality receives its own ASO financial statement and is responsible for managing its own reserve.</w:t>
      </w:r>
    </w:p>
    <w:p w14:paraId="778F15C0" w14:textId="4C321677" w:rsidR="00B61B30" w:rsidRPr="00C21E85" w:rsidRDefault="00B61B30" w:rsidP="00B61B30">
      <w:pPr>
        <w:rPr>
          <w:rFonts w:ascii="Calibri" w:hAnsi="Calibri" w:cs="Calibri"/>
          <w:b/>
          <w:bCs/>
        </w:rPr>
      </w:pPr>
      <w:r w:rsidRPr="00C21E85">
        <w:rPr>
          <w:rFonts w:ascii="Calibri" w:hAnsi="Calibri" w:cs="Calibri"/>
          <w:b/>
          <w:bCs/>
        </w:rPr>
        <w:t>2. Financial Liabilities</w:t>
      </w:r>
    </w:p>
    <w:p w14:paraId="3551AABA" w14:textId="5633A4A1" w:rsidR="003C5EF8" w:rsidRPr="00C21E85" w:rsidRDefault="00B61B30" w:rsidP="00B61B30">
      <w:pPr>
        <w:rPr>
          <w:rFonts w:ascii="Calibri" w:hAnsi="Calibri" w:cs="Calibri"/>
        </w:rPr>
      </w:pPr>
      <w:r w:rsidRPr="00C21E85">
        <w:rPr>
          <w:rFonts w:ascii="Calibri" w:hAnsi="Calibri" w:cs="Calibri"/>
        </w:rPr>
        <w:t>Pool B municipalities are responsible for paying monthly invoices for th</w:t>
      </w:r>
      <w:r w:rsidR="00BE01CE" w:rsidRPr="00C21E85">
        <w:rPr>
          <w:rFonts w:ascii="Calibri" w:hAnsi="Calibri" w:cs="Calibri"/>
        </w:rPr>
        <w:t>e</w:t>
      </w:r>
      <w:r w:rsidRPr="00C21E85">
        <w:rPr>
          <w:rFonts w:ascii="Calibri" w:hAnsi="Calibri" w:cs="Calibri"/>
        </w:rPr>
        <w:t xml:space="preserve"> required rates. If payment is not received, the insurer will notify the </w:t>
      </w:r>
      <w:r w:rsidR="00CE5034" w:rsidRPr="00C21E85">
        <w:rPr>
          <w:rFonts w:ascii="Calibri" w:hAnsi="Calibri" w:cs="Calibri"/>
        </w:rPr>
        <w:t>NSFM</w:t>
      </w:r>
      <w:r w:rsidRPr="00C21E85">
        <w:rPr>
          <w:rFonts w:ascii="Calibri" w:hAnsi="Calibri" w:cs="Calibri"/>
        </w:rPr>
        <w:t xml:space="preserve"> and suspend claim</w:t>
      </w:r>
      <w:r w:rsidR="00BE01CE" w:rsidRPr="00C21E85">
        <w:rPr>
          <w:rFonts w:ascii="Calibri" w:hAnsi="Calibri" w:cs="Calibri"/>
        </w:rPr>
        <w:t>s</w:t>
      </w:r>
      <w:r w:rsidRPr="00C21E85">
        <w:rPr>
          <w:rFonts w:ascii="Calibri" w:hAnsi="Calibri" w:cs="Calibri"/>
        </w:rPr>
        <w:t xml:space="preserve"> payments. </w:t>
      </w:r>
      <w:r w:rsidR="003C5EF8" w:rsidRPr="00C21E85">
        <w:rPr>
          <w:rFonts w:ascii="Calibri" w:hAnsi="Calibri" w:cs="Calibri"/>
        </w:rPr>
        <w:t xml:space="preserve">Although each Pool B group is responsible for covering its own deficits, the NSFM remains liable if a Pool B municipality </w:t>
      </w:r>
      <w:r w:rsidR="00BE01CE" w:rsidRPr="00C21E85">
        <w:rPr>
          <w:rFonts w:ascii="Calibri" w:hAnsi="Calibri" w:cs="Calibri"/>
        </w:rPr>
        <w:t>defaults on payment</w:t>
      </w:r>
      <w:r w:rsidR="003C5EF8" w:rsidRPr="00C21E85">
        <w:rPr>
          <w:rFonts w:ascii="Calibri" w:hAnsi="Calibri" w:cs="Calibri"/>
        </w:rPr>
        <w:t xml:space="preserve">. The same risk-mitigation </w:t>
      </w:r>
      <w:r w:rsidR="00BE01CE" w:rsidRPr="00C21E85">
        <w:rPr>
          <w:rFonts w:ascii="Calibri" w:hAnsi="Calibri" w:cs="Calibri"/>
        </w:rPr>
        <w:t>factors</w:t>
      </w:r>
      <w:r w:rsidR="003C5EF8" w:rsidRPr="00C21E85">
        <w:rPr>
          <w:rFonts w:ascii="Calibri" w:hAnsi="Calibri" w:cs="Calibri"/>
        </w:rPr>
        <w:t xml:space="preserve"> outlined above also apply to the Pool B groups.</w:t>
      </w:r>
    </w:p>
    <w:p w14:paraId="590FD4D6" w14:textId="2A87C307" w:rsidR="00B61B30" w:rsidRPr="00C21E85" w:rsidRDefault="00B61B30" w:rsidP="00B61B30">
      <w:pPr>
        <w:rPr>
          <w:rFonts w:ascii="Calibri" w:hAnsi="Calibri" w:cs="Calibri"/>
          <w:b/>
          <w:bCs/>
        </w:rPr>
      </w:pPr>
      <w:r w:rsidRPr="00C21E85">
        <w:rPr>
          <w:rFonts w:ascii="Calibri" w:hAnsi="Calibri" w:cs="Calibri"/>
          <w:b/>
          <w:bCs/>
        </w:rPr>
        <w:t>3. Reserve Requirement</w:t>
      </w:r>
    </w:p>
    <w:p w14:paraId="1D3FB082" w14:textId="6FA0F413" w:rsidR="00926A94" w:rsidRPr="00C21E85" w:rsidRDefault="00B61B30" w:rsidP="00926A94">
      <w:pPr>
        <w:rPr>
          <w:rFonts w:ascii="Calibri" w:hAnsi="Calibri" w:cs="Calibri"/>
        </w:rPr>
      </w:pPr>
      <w:r w:rsidRPr="00C21E85">
        <w:rPr>
          <w:rFonts w:ascii="Calibri" w:hAnsi="Calibri" w:cs="Calibri"/>
        </w:rPr>
        <w:t xml:space="preserve">As with Pool A, </w:t>
      </w:r>
      <w:r w:rsidR="00926A94" w:rsidRPr="00C21E85">
        <w:rPr>
          <w:rFonts w:ascii="Calibri" w:hAnsi="Calibri" w:cs="Calibri"/>
        </w:rPr>
        <w:t xml:space="preserve">the 2025 renewal rates were set to establish and maintain a reserve equal to 15% of paid claims. </w:t>
      </w:r>
    </w:p>
    <w:p w14:paraId="3180C09C" w14:textId="4AA8AF4E" w:rsidR="00926A94" w:rsidRPr="00C21E85" w:rsidRDefault="00926A94">
      <w:pPr>
        <w:rPr>
          <w:rFonts w:ascii="Calibri" w:hAnsi="Calibri" w:cs="Calibri"/>
        </w:rPr>
      </w:pPr>
      <w:r w:rsidRPr="00C21E85">
        <w:rPr>
          <w:rFonts w:ascii="Calibri" w:hAnsi="Calibri" w:cs="Calibri"/>
        </w:rPr>
        <w:t xml:space="preserve">As part of the April 1, 2025 rate setting process, the financial balances for each Pool B group were reviewed and factored into the updated rates. Of the 15 Pool B groups, 3 </w:t>
      </w:r>
      <w:r w:rsidR="00BE01CE" w:rsidRPr="00C21E85">
        <w:rPr>
          <w:rFonts w:ascii="Calibri" w:hAnsi="Calibri" w:cs="Calibri"/>
        </w:rPr>
        <w:t xml:space="preserve">groups </w:t>
      </w:r>
      <w:r w:rsidR="00D32239">
        <w:rPr>
          <w:rFonts w:ascii="Calibri" w:hAnsi="Calibri" w:cs="Calibri"/>
        </w:rPr>
        <w:t xml:space="preserve">had </w:t>
      </w:r>
      <w:r w:rsidRPr="00C21E85">
        <w:rPr>
          <w:rFonts w:ascii="Calibri" w:hAnsi="Calibri" w:cs="Calibri"/>
        </w:rPr>
        <w:t>negative balances</w:t>
      </w:r>
      <w:r w:rsidR="002A02DF">
        <w:rPr>
          <w:rFonts w:ascii="Calibri" w:hAnsi="Calibri" w:cs="Calibri"/>
        </w:rPr>
        <w:t>.</w:t>
      </w:r>
      <w:r w:rsidR="00076204">
        <w:rPr>
          <w:rFonts w:ascii="Calibri" w:hAnsi="Calibri" w:cs="Calibri"/>
        </w:rPr>
        <w:t xml:space="preserve"> </w:t>
      </w:r>
      <w:r w:rsidR="008F0572">
        <w:rPr>
          <w:rFonts w:ascii="Calibri" w:hAnsi="Calibri" w:cs="Calibri"/>
        </w:rPr>
        <w:t xml:space="preserve">NSFM observed that these entities all had plans in place to bring the balances to positive </w:t>
      </w:r>
      <w:r w:rsidR="00D9263F">
        <w:rPr>
          <w:rFonts w:ascii="Calibri" w:hAnsi="Calibri" w:cs="Calibri"/>
        </w:rPr>
        <w:t>positions</w:t>
      </w:r>
      <w:r w:rsidR="008F0572">
        <w:rPr>
          <w:rFonts w:ascii="Calibri" w:hAnsi="Calibri" w:cs="Calibri"/>
        </w:rPr>
        <w:t xml:space="preserve"> </w:t>
      </w:r>
      <w:r w:rsidR="00D9263F">
        <w:rPr>
          <w:rFonts w:ascii="Calibri" w:hAnsi="Calibri" w:cs="Calibri"/>
        </w:rPr>
        <w:t>and establish/restore the 15% reserve</w:t>
      </w:r>
      <w:r w:rsidR="000D2FB3" w:rsidRPr="00C21E85">
        <w:rPr>
          <w:rFonts w:ascii="Calibri" w:eastAsia="Aptos" w:hAnsi="Calibri" w:cs="Calibri"/>
        </w:rPr>
        <w:t>.</w:t>
      </w:r>
    </w:p>
    <w:p w14:paraId="4B1987FD" w14:textId="77777777" w:rsidR="00926A94" w:rsidRDefault="00926A94">
      <w:pPr>
        <w:rPr>
          <w:rFonts w:ascii="Calibri" w:hAnsi="Calibri" w:cs="Calibri"/>
        </w:rPr>
      </w:pPr>
    </w:p>
    <w:p w14:paraId="51425466" w14:textId="77777777" w:rsidR="004F368F" w:rsidRPr="00C21E85" w:rsidRDefault="004F368F">
      <w:pPr>
        <w:rPr>
          <w:rFonts w:ascii="Calibri" w:hAnsi="Calibri" w:cs="Calibri"/>
        </w:rPr>
      </w:pPr>
    </w:p>
    <w:sectPr w:rsidR="004F368F" w:rsidRPr="00C21E8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0A158BE"/>
    <w:multiLevelType w:val="multilevel"/>
    <w:tmpl w:val="922E86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5DC0656E"/>
    <w:multiLevelType w:val="multilevel"/>
    <w:tmpl w:val="01D213C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6BF43CAE"/>
    <w:multiLevelType w:val="multilevel"/>
    <w:tmpl w:val="77CEA23A"/>
    <w:lvl w:ilvl="0">
      <w:start w:val="1"/>
      <w:numFmt w:val="bullet"/>
      <w:lvlText w:val=""/>
      <w:lvlJc w:val="left"/>
      <w:pPr>
        <w:tabs>
          <w:tab w:val="num" w:pos="360"/>
        </w:tabs>
        <w:ind w:left="360" w:hanging="360"/>
      </w:pPr>
      <w:rPr>
        <w:rFonts w:ascii="Symbol" w:hAnsi="Symbol" w:hint="default"/>
      </w:rPr>
    </w:lvl>
    <w:lvl w:ilvl="1">
      <w:start w:val="1"/>
      <w:numFmt w:val="bullet"/>
      <w:lvlText w:val="o"/>
      <w:lvlJc w:val="left"/>
      <w:pPr>
        <w:tabs>
          <w:tab w:val="num" w:pos="1080"/>
        </w:tabs>
        <w:ind w:left="1080" w:hanging="360"/>
      </w:pPr>
      <w:rPr>
        <w:rFonts w:ascii="Courier New" w:hAnsi="Courier New" w:hint="default"/>
        <w:sz w:val="20"/>
      </w:rPr>
    </w:lvl>
    <w:lvl w:ilvl="2">
      <w:start w:val="1"/>
      <w:numFmt w:val="bullet"/>
      <w:lvlText w:val=""/>
      <w:lvlJc w:val="left"/>
      <w:pPr>
        <w:tabs>
          <w:tab w:val="num" w:pos="1800"/>
        </w:tabs>
        <w:ind w:left="1800" w:hanging="360"/>
      </w:pPr>
      <w:rPr>
        <w:rFonts w:ascii="Wingdings" w:hAnsi="Wingdings" w:hint="default"/>
        <w:sz w:val="20"/>
      </w:r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3" w15:restartNumberingAfterBreak="0">
    <w:nsid w:val="6FFA0EA2"/>
    <w:multiLevelType w:val="multilevel"/>
    <w:tmpl w:val="31969BA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295062074">
    <w:abstractNumId w:val="0"/>
  </w:num>
  <w:num w:numId="2" w16cid:durableId="875122815">
    <w:abstractNumId w:val="1"/>
  </w:num>
  <w:num w:numId="3" w16cid:durableId="1313369698">
    <w:abstractNumId w:val="3"/>
  </w:num>
  <w:num w:numId="4" w16cid:durableId="75440422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61B30"/>
    <w:rsid w:val="00076204"/>
    <w:rsid w:val="000A7701"/>
    <w:rsid w:val="000D2FB3"/>
    <w:rsid w:val="000D544C"/>
    <w:rsid w:val="002514FF"/>
    <w:rsid w:val="002A02DF"/>
    <w:rsid w:val="002D56DE"/>
    <w:rsid w:val="003C1E87"/>
    <w:rsid w:val="003C5EF8"/>
    <w:rsid w:val="004D063E"/>
    <w:rsid w:val="004F368F"/>
    <w:rsid w:val="00511C7A"/>
    <w:rsid w:val="005A4F9E"/>
    <w:rsid w:val="005C3F5E"/>
    <w:rsid w:val="005F33BD"/>
    <w:rsid w:val="00635173"/>
    <w:rsid w:val="00672F88"/>
    <w:rsid w:val="00691D79"/>
    <w:rsid w:val="006964A5"/>
    <w:rsid w:val="006C0DE4"/>
    <w:rsid w:val="006E0DD6"/>
    <w:rsid w:val="00754E28"/>
    <w:rsid w:val="00786AD3"/>
    <w:rsid w:val="00812635"/>
    <w:rsid w:val="00897399"/>
    <w:rsid w:val="008F0572"/>
    <w:rsid w:val="00925FD1"/>
    <w:rsid w:val="00926A94"/>
    <w:rsid w:val="0094707C"/>
    <w:rsid w:val="00B60AB0"/>
    <w:rsid w:val="00B61B30"/>
    <w:rsid w:val="00BB4381"/>
    <w:rsid w:val="00BE01CE"/>
    <w:rsid w:val="00C21E85"/>
    <w:rsid w:val="00C27B99"/>
    <w:rsid w:val="00C322ED"/>
    <w:rsid w:val="00C8368B"/>
    <w:rsid w:val="00CE5034"/>
    <w:rsid w:val="00D30FF1"/>
    <w:rsid w:val="00D32239"/>
    <w:rsid w:val="00D9263F"/>
    <w:rsid w:val="00D9287D"/>
    <w:rsid w:val="00DB7339"/>
    <w:rsid w:val="00E34A96"/>
    <w:rsid w:val="00EA40EE"/>
    <w:rsid w:val="00FC397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27C3E4F0"/>
  <w15:chartTrackingRefBased/>
  <w15:docId w15:val="{D5BB11E3-9445-429D-B7D8-E2E5694E48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B61B30"/>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B61B30"/>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B61B30"/>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B61B30"/>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B61B30"/>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B61B30"/>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B61B30"/>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B61B30"/>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B61B30"/>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61B30"/>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B61B30"/>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B61B30"/>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B61B30"/>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B61B30"/>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B61B30"/>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61B30"/>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61B30"/>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61B30"/>
    <w:rPr>
      <w:rFonts w:eastAsiaTheme="majorEastAsia" w:cstheme="majorBidi"/>
      <w:color w:val="272727" w:themeColor="text1" w:themeTint="D8"/>
    </w:rPr>
  </w:style>
  <w:style w:type="paragraph" w:styleId="Title">
    <w:name w:val="Title"/>
    <w:basedOn w:val="Normal"/>
    <w:next w:val="Normal"/>
    <w:link w:val="TitleChar"/>
    <w:uiPriority w:val="10"/>
    <w:qFormat/>
    <w:rsid w:val="00B61B3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61B30"/>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61B30"/>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B61B30"/>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61B30"/>
    <w:pPr>
      <w:spacing w:before="160"/>
      <w:jc w:val="center"/>
    </w:pPr>
    <w:rPr>
      <w:i/>
      <w:iCs/>
      <w:color w:val="404040" w:themeColor="text1" w:themeTint="BF"/>
    </w:rPr>
  </w:style>
  <w:style w:type="character" w:customStyle="1" w:styleId="QuoteChar">
    <w:name w:val="Quote Char"/>
    <w:basedOn w:val="DefaultParagraphFont"/>
    <w:link w:val="Quote"/>
    <w:uiPriority w:val="29"/>
    <w:rsid w:val="00B61B30"/>
    <w:rPr>
      <w:i/>
      <w:iCs/>
      <w:color w:val="404040" w:themeColor="text1" w:themeTint="BF"/>
    </w:rPr>
  </w:style>
  <w:style w:type="paragraph" w:styleId="ListParagraph">
    <w:name w:val="List Paragraph"/>
    <w:basedOn w:val="Normal"/>
    <w:uiPriority w:val="34"/>
    <w:qFormat/>
    <w:rsid w:val="00B61B30"/>
    <w:pPr>
      <w:ind w:left="720"/>
      <w:contextualSpacing/>
    </w:pPr>
  </w:style>
  <w:style w:type="character" w:styleId="IntenseEmphasis">
    <w:name w:val="Intense Emphasis"/>
    <w:basedOn w:val="DefaultParagraphFont"/>
    <w:uiPriority w:val="21"/>
    <w:qFormat/>
    <w:rsid w:val="00B61B30"/>
    <w:rPr>
      <w:i/>
      <w:iCs/>
      <w:color w:val="0F4761" w:themeColor="accent1" w:themeShade="BF"/>
    </w:rPr>
  </w:style>
  <w:style w:type="paragraph" w:styleId="IntenseQuote">
    <w:name w:val="Intense Quote"/>
    <w:basedOn w:val="Normal"/>
    <w:next w:val="Normal"/>
    <w:link w:val="IntenseQuoteChar"/>
    <w:uiPriority w:val="30"/>
    <w:qFormat/>
    <w:rsid w:val="00B61B3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B61B30"/>
    <w:rPr>
      <w:i/>
      <w:iCs/>
      <w:color w:val="0F4761" w:themeColor="accent1" w:themeShade="BF"/>
    </w:rPr>
  </w:style>
  <w:style w:type="character" w:styleId="IntenseReference">
    <w:name w:val="Intense Reference"/>
    <w:basedOn w:val="DefaultParagraphFont"/>
    <w:uiPriority w:val="32"/>
    <w:qFormat/>
    <w:rsid w:val="00B61B30"/>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40138546">
      <w:bodyDiv w:val="1"/>
      <w:marLeft w:val="0"/>
      <w:marRight w:val="0"/>
      <w:marTop w:val="0"/>
      <w:marBottom w:val="0"/>
      <w:divBdr>
        <w:top w:val="none" w:sz="0" w:space="0" w:color="auto"/>
        <w:left w:val="none" w:sz="0" w:space="0" w:color="auto"/>
        <w:bottom w:val="none" w:sz="0" w:space="0" w:color="auto"/>
        <w:right w:val="none" w:sz="0" w:space="0" w:color="auto"/>
      </w:divBdr>
    </w:div>
    <w:div w:id="8108239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f0c9b2df-2f28-4fd6-88a0-3ec84e0352d4">
      <Terms xmlns="http://schemas.microsoft.com/office/infopath/2007/PartnerControls"/>
    </lcf76f155ced4ddcb4097134ff3c332f>
    <TaxCatchAll xmlns="de29437c-417c-4821-be30-944b373c1fdc"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3F6606970D64B744AC549E69B7758DAF" ma:contentTypeVersion="12" ma:contentTypeDescription="Create a new document." ma:contentTypeScope="" ma:versionID="d4bb226182054e24a90c2253bf41966c">
  <xsd:schema xmlns:xsd="http://www.w3.org/2001/XMLSchema" xmlns:xs="http://www.w3.org/2001/XMLSchema" xmlns:p="http://schemas.microsoft.com/office/2006/metadata/properties" xmlns:ns2="f0c9b2df-2f28-4fd6-88a0-3ec84e0352d4" xmlns:ns3="de29437c-417c-4821-be30-944b373c1fdc" targetNamespace="http://schemas.microsoft.com/office/2006/metadata/properties" ma:root="true" ma:fieldsID="e1e80e1b99bb16642dad717061136240" ns2:_="" ns3:_="">
    <xsd:import namespace="f0c9b2df-2f28-4fd6-88a0-3ec84e0352d4"/>
    <xsd:import namespace="de29437c-417c-4821-be30-944b373c1fdc"/>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0c9b2df-2f28-4fd6-88a0-3ec84e0352d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c80a8045-ac37-4fa2-a7df-906142b1873e"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Location" ma:index="19"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e29437c-417c-4821-be30-944b373c1fdc"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a4730dda-d817-4ac9-a83e-1bed7f701663}" ma:internalName="TaxCatchAll" ma:showField="CatchAllData" ma:web="de29437c-417c-4821-be30-944b373c1fd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A1AA668-2C4D-490B-8D5B-CF207E61CF2F}">
  <ds:schemaRefs>
    <ds:schemaRef ds:uri="http://schemas.microsoft.com/sharepoint/v3/contenttype/forms"/>
  </ds:schemaRefs>
</ds:datastoreItem>
</file>

<file path=customXml/itemProps2.xml><?xml version="1.0" encoding="utf-8"?>
<ds:datastoreItem xmlns:ds="http://schemas.openxmlformats.org/officeDocument/2006/customXml" ds:itemID="{C6FEEF54-CC59-4460-A980-C6F5A3836020}">
  <ds:schemaRefs>
    <ds:schemaRef ds:uri="http://schemas.microsoft.com/office/2006/metadata/properties"/>
    <ds:schemaRef ds:uri="http://schemas.microsoft.com/office/infopath/2007/PartnerControls"/>
    <ds:schemaRef ds:uri="f0c9b2df-2f28-4fd6-88a0-3ec84e0352d4"/>
    <ds:schemaRef ds:uri="de29437c-417c-4821-be30-944b373c1fdc"/>
  </ds:schemaRefs>
</ds:datastoreItem>
</file>

<file path=customXml/itemProps3.xml><?xml version="1.0" encoding="utf-8"?>
<ds:datastoreItem xmlns:ds="http://schemas.openxmlformats.org/officeDocument/2006/customXml" ds:itemID="{83C49087-3120-4811-9BC6-C10A7A47232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0c9b2df-2f28-4fd6-88a0-3ec84e0352d4"/>
    <ds:schemaRef ds:uri="de29437c-417c-4821-be30-944b373c1fd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97</TotalTime>
  <Pages>3</Pages>
  <Words>722</Words>
  <Characters>4120</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4833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Mcinnis, Janine</dc:creator>
  <cp:keywords/>
  <dc:description/>
  <cp:lastModifiedBy>Mary Claire Lake</cp:lastModifiedBy>
  <cp:revision>26</cp:revision>
  <dcterms:created xsi:type="dcterms:W3CDTF">2025-06-23T15:29:00Z</dcterms:created>
  <dcterms:modified xsi:type="dcterms:W3CDTF">2025-06-24T15:26:00Z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0x0101003F6606970D64B744AC549E69B7758DAF</vt:lpwstr>
  </property>
  <property fmtid="{D5CDD505-2E9C-101B-9397-08002B2CF9AE}" pid="3" name="MediaServiceImageTags">
    <vt:lpwstr/>
  </property>
</Properties>
</file>